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Temeljem članka 86. Zakona o proračunu (“Narodne novine” br. 141/21.) i članka 30. Statuta općine Erdut (“Službeni glasnik općine Erdut” 91/21., 97/23., 99/23.  i 108/25.) Općinsko vijeće općine Erdut donijelo je na 3. sjednici održanoj 23.09.2025. godine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ODLUKU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O kratkoročnom  revolving kreditu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Članak 1.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Ovom Odlukom odobrava se kratkoročno revolving zaduživanje Općine Erdut kod Zagrebačke banke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uz slijedeće uvjete: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Vrsta kredita: kratkoročni revolving kredit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Korisnik kredita: Općina Erdut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Namjena: premošćivanje jaza uzrokovanog različitom dinamikom priljeva sredstava i dospijeća obveza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Iznos kredita:400.000,00 EUR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 povrata: sukcesivno, u roku 12 mjeseci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Način i rok korištenja: na revolving principu, do 12 mjeseci od sklapanja Ugovora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Kamatna stopa: 2,45 % godišnje fiksna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Obračun i plaćanje kamata: kamata se obračunava primjenom proporcionalne metode obračuna kamata i kalendarskog broja dana u mjesecu i godini, a dospijeva i naplaćuje se 10. dana po isteku kvartala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Zatezna kamata: u visini stope važeće zakonske zatezne kamate. Zatezna kamata se obračunava kvartalno, primjenom proporcionalne metode obračuna kamata i kalendarskog broja dana u mjesecu i godini, a dospijeva i naplaćuje se 10. dana po isteku kvartala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Naknada za prijevremeni povrat kredita: bez naknade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Naknada za obradu zahtjeva: 0,10% od iznosa odobrenog kredita, jednokratno,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 osiguranja: zadužnica Općine Erdut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Članak 2.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Ovlašćuje se općinski načelnik na zaključivanje ugovora za kratkoročni kredit pod navedenim uvjetima iz članka 1. ove Odluke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Članak 3.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Ova Odluka stupa na snagu danom donošenja i bit će objavljena u “Službenom glasniku općine Erdut”.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KLASA:    403-01/25-01/5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URBROJ:   2158-18-01-25-1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 xml:space="preserve">       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PREDSJEDNIK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                                  </w:t>
        <w:tab/>
        <w:tab/>
        <w:t xml:space="preserve">      </w:t>
        <w:tab/>
        <w:t xml:space="preserve">         Jovo Vuković                                           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Odlomakpopisa">
    <w:name w:val="List Paragraph"/>
    <w:basedOn w:val="Normal"/>
    <w:uiPriority w:val="34"/>
    <w:qFormat w:val="1"/>
    <w:rsid w:val="006438E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w9DVnvlPHgPfEAKVO2Y6bvF7w==">CgMxLjA4AHIhMXloU0djVUxGUXhwZDlpRmk5d2NZbWJqcEExa1cyZ1FW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2025-09-15T11:49:00Z</dcterms:created>
  <dc:creator>Korisnik</dc:creator>
</cp:coreProperties>
</file>