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F6EA" w14:textId="2C17073F" w:rsidR="004C07EE" w:rsidRPr="00A969EF" w:rsidRDefault="00A969EF" w:rsidP="00A969EF">
      <w:pPr>
        <w:jc w:val="center"/>
        <w:rPr>
          <w:b/>
          <w:bCs/>
        </w:rPr>
      </w:pPr>
      <w:r w:rsidRPr="00A969EF">
        <w:rPr>
          <w:b/>
          <w:bCs/>
        </w:rPr>
        <w:t>JAVNI POZIV za provedbu Programa dodjele potpore male vrijednosti poljoprivrednicima na području Općine Erdut kao pomoć za ublažavanje posljedica prirodne nepogode suše za 2024. Godinu</w:t>
      </w:r>
    </w:p>
    <w:p w14:paraId="40623F0B" w14:textId="77777777" w:rsidR="00A969EF" w:rsidRDefault="00A969EF" w:rsidP="00A969EF">
      <w:pPr>
        <w:jc w:val="center"/>
      </w:pPr>
    </w:p>
    <w:p w14:paraId="76898A06" w14:textId="16AFCF0D" w:rsid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Na temelju 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. III. Programa dodjele potpore male vrijednosti poljoprivrednicima na području Općine 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 kao pomoć za ublažavanje posljedica prirodne nepogode suše za 2024. godinu te čl. 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30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. Statuta Općine 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 (“Službeni glasnik“ Općine Erdut 91/21., 97/23., 99/23. i 108/25.)</w:t>
      </w:r>
      <w:r w:rsidR="00450704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 objavljuje se:</w:t>
      </w:r>
    </w:p>
    <w:p w14:paraId="27FE69F8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</w:p>
    <w:p w14:paraId="1580F2F5" w14:textId="75F26C96" w:rsidR="00A969EF" w:rsidRPr="00A969EF" w:rsidRDefault="00A969EF" w:rsidP="00A969EF">
      <w:pPr>
        <w:shd w:val="clear" w:color="auto" w:fill="F7F7F7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JAVNI POZIV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br/>
        <w:t>za provedbu Programa dodjele potpore male vrijednosti poljoprivrednicima na području </w:t>
      </w:r>
      <w:r w:rsidRPr="00A969EF">
        <w:rPr>
          <w:rFonts w:ascii="Tahoma" w:eastAsia="Times New Roman" w:hAnsi="Tahoma" w:cs="Tahoma"/>
          <w:i/>
          <w:i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Općine </w:t>
      </w:r>
      <w:r>
        <w:rPr>
          <w:rFonts w:ascii="Tahoma" w:eastAsia="Times New Roman" w:hAnsi="Tahoma" w:cs="Tahoma"/>
          <w:i/>
          <w:i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Erdut 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 kao pomoć za ublažavanje posljedica prirodne nepogode suše za 2024. godinu</w:t>
      </w:r>
    </w:p>
    <w:p w14:paraId="0EF54E57" w14:textId="573A39C4" w:rsidR="00A969EF" w:rsidRPr="00450704" w:rsidRDefault="00450704" w:rsidP="00450704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</w:pPr>
      <w:r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  <w:t>1.</w:t>
      </w:r>
      <w:r w:rsidRPr="00450704"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  <w:t>UVOD</w:t>
      </w:r>
    </w:p>
    <w:p w14:paraId="73CB0EF5" w14:textId="060F0420" w:rsidR="00A969EF" w:rsidRDefault="00A969EF" w:rsidP="00A969EF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Općinu 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 je u 2024. godini zahvatila prirodna nepogoda suša koja je uzrokovala značajne štete u poljoprivredi. Poljoprivredna gospodarstva koja su pretrpjela štetu od prirodnih nepogoda u 2024. godini mogla su ostvariti djelomičnu naknadu štete iz 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2820F420" w14:textId="77777777" w:rsidR="00450704" w:rsidRPr="00A969EF" w:rsidRDefault="00450704" w:rsidP="00A969EF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</w:p>
    <w:p w14:paraId="5009C56A" w14:textId="77777777" w:rsid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Na sjednici Vlade Republike Hrvatske održanoj 04. rujna 2025. donesena je Odluka Vlade Republike Hrvatske o pomoći za ublažavanje i djelomično uklanjanje posljedica prirodne nepogode suše na prinosima za 2024. godinu (KLASA: 022-03/25-04/361, URBROJ: 50301-27/22-25-3) (dalje u tekstu: Odluka Vlade RH) kojom se odobrava pomoć u ukupnom iznosu od 5.000.000,00 eura za ublažavanje i djelomično uklanjanje posljedica prirodne nepogode suše na prinosima za 2024. godinu.</w:t>
      </w:r>
    </w:p>
    <w:p w14:paraId="6D999379" w14:textId="77777777" w:rsidR="00450704" w:rsidRPr="00A969EF" w:rsidRDefault="00450704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</w:p>
    <w:p w14:paraId="21E74974" w14:textId="3FB3D521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Predmet ovoga Programa je dodjele potpora male vrijednosti poljoprivrednicima kao pomoć za ublažavanje posljedica prirodne nepogode suše na području Općine </w:t>
      </w:r>
      <w:r w:rsidR="00450704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 u obliku bespovratnih sredstava, a u skladu s odredbom iz točke III. Odluke Vlade RH. Prema navedenoj točki Općina </w:t>
      </w:r>
      <w:r w:rsidR="00450704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 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dostavljene Ministarstvu.</w:t>
      </w:r>
    </w:p>
    <w:p w14:paraId="40F9A7BB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  <w:t>2. PRAVNA OSNOVA</w:t>
      </w:r>
    </w:p>
    <w:p w14:paraId="44A47A70" w14:textId="3508AFC1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Ovaj Javni poziv provodi se u skladu </w:t>
      </w:r>
      <w:r w:rsidR="009A6DC4"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s :</w:t>
      </w:r>
    </w:p>
    <w:p w14:paraId="74F9FBCB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lastRenderedPageBreak/>
        <w:t>-Odlukom Vlade Republike Hrvatske o pomoći za ublažavanje i djelomično uklanjanje posljedica prirodne nepogode suše na prinosima za 2024. godinu (KLASA: 022-03/25-04/361, URBROJ: 50301-27/22-25-3)</w:t>
      </w:r>
    </w:p>
    <w:p w14:paraId="353D842C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– Programa dodjele potpore male vrijednosti poljoprivrednicima na području (JLS) kao pomoć za ublažavanje posljedica prirodne nepogode suše za 2024. godinu (KLASA: 320-02/24-01/1 URBROJ: 196-9-02-25-15 )</w:t>
      </w:r>
    </w:p>
    <w:p w14:paraId="14045558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-Uredbom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  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054ABDC8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</w:pPr>
      <w:r w:rsidRPr="00A969EF"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  <w:t>3. PREDMET JAVNOG POZIVA</w:t>
      </w:r>
    </w:p>
    <w:p w14:paraId="1F5F4699" w14:textId="36B3C8F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Predmet ovoga Javnog poziva je izravna dodjela potpore iz Programa dodjele potpore male vrijednosti poljoprivrednicima na području Općine </w:t>
      </w:r>
      <w:r w:rsidR="003C7DB6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Erdut</w:t>
      </w:r>
      <w:r w:rsidR="003C7DB6"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 xml:space="preserve"> 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kao pomoć za ublažavanje posljedica prirodne nepogode suše za 2024. godinu.</w:t>
      </w:r>
    </w:p>
    <w:p w14:paraId="2524241D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</w:pPr>
      <w:r w:rsidRPr="00A969EF">
        <w:rPr>
          <w:rFonts w:ascii="Tahoma" w:eastAsia="Times New Roman" w:hAnsi="Tahoma" w:cs="Tahoma"/>
          <w:color w:val="333333"/>
          <w:kern w:val="36"/>
          <w:sz w:val="44"/>
          <w:szCs w:val="44"/>
          <w14:ligatures w14:val="none"/>
        </w:rPr>
        <w:t>4. PRIHVATLJIVI KORISNICI</w:t>
      </w:r>
    </w:p>
    <w:p w14:paraId="768A3FC7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Prijavu na ovaj Javni poziv podnose korisnici čiji je MIBPG naveden u Prilogu 1. Javnog poziva koji su zadovoljili niže navedene uvjete, a provjeru kojih je provelo Ministarstvo.</w:t>
      </w:r>
    </w:p>
    <w:p w14:paraId="30BDADEE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Ministarstvo je prema dostavljenim inicijalnim listama napravilo provjeru uvjeta prihvatljivosti korisnika potpore, usklađenih s Mjerom 23 „Izvanredna privremena potpora poljoprivrednicima koji su posebno pogođeni prirodnim nepogodama“ iz Programa ruralnog razvoja Republike Hrvatske za razdoblje 2014. – 2020.,  kako bi svi poljoprivrednici bili u istom položaju i ostvarili pravo na ujednačene iznose potpore,  pri čemu visina potpore po korisniku može iznositi do 36,342 % visine štete, ali ne više od 42.000 eura.</w:t>
      </w:r>
    </w:p>
    <w:p w14:paraId="77C64804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Sukladno članku 3. Uredbe de minimis ukupan iznos potpora male vrijednosti  koji je dodijeljen jednom poduzetniku ne smije prijeći iznos od 50.000,00 EUR-a  tijekom bilo kojeg razdoblja od tri godine te se ta gornja granica  primjenjuje  bez obzira na oblik ili svrhu potpore.</w:t>
      </w:r>
    </w:p>
    <w:p w14:paraId="0CC5C960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Uvjeti koje su korisnici iz Priloga 1. ispunili:</w:t>
      </w:r>
    </w:p>
    <w:p w14:paraId="1ACB2E89" w14:textId="77777777" w:rsidR="00A969EF" w:rsidRPr="00A969EF" w:rsidRDefault="00A969EF" w:rsidP="00A969EF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7FC4FC42" w14:textId="77777777" w:rsidR="00A969EF" w:rsidRPr="00A969EF" w:rsidRDefault="00A969EF" w:rsidP="00A969EF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430E5C8C" w14:textId="77777777" w:rsidR="00A969EF" w:rsidRPr="00A969EF" w:rsidRDefault="00A969EF" w:rsidP="00A969EF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9014858" w14:textId="77777777" w:rsidR="00A969EF" w:rsidRPr="00A969EF" w:rsidRDefault="00A969EF" w:rsidP="00A969EF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lastRenderedPageBreak/>
        <w:t>imali su štetu od prirodne nepogode suše nastale u 2024. godini veću od 200,00 eura</w:t>
      </w:r>
    </w:p>
    <w:p w14:paraId="61411782" w14:textId="77777777" w:rsidR="00A969EF" w:rsidRPr="00A969EF" w:rsidRDefault="00A969EF" w:rsidP="00A969EF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nisu ostvarili naknadu za štetu od prirodne nepogode suše na temelju ili iz:</w:t>
      </w:r>
    </w:p>
    <w:p w14:paraId="192FB144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a) Programa potpore za nadoknadu štete koju su pretrpjeli proizvođači šećerne repe u 2024. godini</w:t>
      </w:r>
    </w:p>
    <w:p w14:paraId="55B04BC7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b) Programa potpore za poljoprivredne sektore pogođene nepovoljnim klimatskim prilikama i prirodnim nepogodama u 2024. godini</w:t>
      </w:r>
    </w:p>
    <w:p w14:paraId="6757F578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c) Mjere 23.             </w:t>
      </w:r>
    </w:p>
    <w:p w14:paraId="3470F72D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  <w:t>5. IZNOS POTPORE</w:t>
      </w:r>
    </w:p>
    <w:p w14:paraId="6CC7597A" w14:textId="561C8484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Općina </w:t>
      </w:r>
      <w:r w:rsidR="003C7DB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 će na temelju zaprimljenih zahtjeva korisnika pripremiti konačan popis prihvatljivih korisnika s prijedlogom  raspodjele ukupno raspoloživih sredstava po korisniku te ga dostaviti Ministarstvu najkasnije do 21. studenoga 2025. godine (uključujući navedeni datum) radi isplate sredstava pomoći.</w:t>
      </w:r>
    </w:p>
    <w:p w14:paraId="36C09F3F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16AA0C88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  <w:t>6. BROJ PRIJAVA PO KORISNIKU</w:t>
      </w:r>
    </w:p>
    <w:p w14:paraId="14AF6C50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Isti (jedan) prihvatljivi korisnik može podnijeti jednu prijavu unutar ovoga Javnog poziva te može dobiti potporu u okviru ove mjere samo jednom.</w:t>
      </w:r>
    </w:p>
    <w:p w14:paraId="28DB07AA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U slučaju da isti prihvatljivi korisnik podnese više prijava na ovaj Javni poziv, prijava koja se kasnije podnese se odbija.</w:t>
      </w:r>
    </w:p>
    <w:p w14:paraId="75C1CCFC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333333"/>
          <w:kern w:val="36"/>
          <w:sz w:val="44"/>
          <w:szCs w:val="44"/>
          <w:lang w:val="fr-FR"/>
          <w14:ligatures w14:val="none"/>
        </w:rPr>
        <w:t>7. NAČIN, UVJETI I ROKOVI PODNOŠENJA PRIJAVE NA JAVNI POZIV</w:t>
      </w:r>
    </w:p>
    <w:p w14:paraId="26E1E3A6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Rokovi podnošenja prijave na Javni poziv</w:t>
      </w:r>
    </w:p>
    <w:p w14:paraId="42E713C6" w14:textId="269A2741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Prijave na ovaj Javni poziv se podnose od </w:t>
      </w:r>
      <w:r w:rsidR="00A46C8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0</w:t>
      </w:r>
      <w:r w:rsidR="00E22F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3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.</w:t>
      </w:r>
      <w:r w:rsidR="00A46C8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11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.2025. do </w:t>
      </w:r>
      <w:r w:rsidR="00A46C8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14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.11.2025. godine.</w:t>
      </w:r>
    </w:p>
    <w:p w14:paraId="35EE5CCF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Način prijave na Javni poziv</w:t>
      </w:r>
    </w:p>
    <w:p w14:paraId="146B4ECA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Prijavu na ovaj Javni poziv podnose nositelji odnosno odgovorne osobe poljoprivrednog gospodarstva čiji je MIBPG naveden u Prilogu 1. ovoga Javnog poziva.</w:t>
      </w:r>
    </w:p>
    <w:p w14:paraId="73BA49D6" w14:textId="77777777" w:rsidR="00A969EF" w:rsidRPr="00A969EF" w:rsidRDefault="00A969EF" w:rsidP="00A969EF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Prijavu elektronički, poštom, osobno  podnose isključivo nositelji / odgovorne osobe poljoprivrednog gospodarstva čiji je MIBPG naveden u </w:t>
      </w:r>
      <w:hyperlink r:id="rId5" w:history="1">
        <w:r w:rsidRPr="00A969EF">
          <w:rPr>
            <w:rFonts w:ascii="Tahoma" w:eastAsia="Times New Roman" w:hAnsi="Tahoma" w:cs="Tahoma"/>
            <w:color w:val="2772C2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>Prilogu 1. ovoga Javnog poziva</w:t>
        </w:r>
      </w:hyperlink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.</w:t>
      </w:r>
    </w:p>
    <w:p w14:paraId="4CAF8842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Korisnik je odgovoran za točnost i potpunost podataka unesenih u obrazac prijave. Prijava mora biti podnesena unutar roka predviđenog u ovom Javnom pozivu</w:t>
      </w:r>
    </w:p>
    <w:p w14:paraId="050B2D03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  <w:t>8. IZDAVANJE ODLUKA</w:t>
      </w:r>
    </w:p>
    <w:p w14:paraId="18CA882F" w14:textId="378456E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Nakon administrativne kontrole podnesene Prijave, Općina </w:t>
      </w:r>
      <w:r w:rsidR="003C7DB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 će na temelju zaprimljenih zahtjeva korisnika pripremiti konačan popis prihvatljivih korisnika s prijedlogom  raspodjele ukupno raspoloživih sredstava po korisniku te ga dostaviti Ministarstvu najkasnije do 21. studenoga 2025. godine (uključujući navedeni datum) radi isplate sredstava pomoći.</w:t>
      </w:r>
    </w:p>
    <w:p w14:paraId="2CD7407A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Ministarstvo će ukupna sredstva pomoći raspodijeliti JLS-ovima proporcionalno udjelu iznosa pomoći za štete uzrokovane prirodnom nepogodom sušom koja je u 2024. godini uzrokovala gubitke na 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lastRenderedPageBreak/>
        <w:t>prinosima poljoprivrednih kultura. Sredstva će biti doznačena izravno na račune JLS-ova iz Priloga I. Odluke Vlade RH.</w:t>
      </w:r>
    </w:p>
    <w:p w14:paraId="58D15426" w14:textId="72A02136" w:rsidR="00A969EF" w:rsidRPr="00A969EF" w:rsidRDefault="00A969EF" w:rsidP="00A969EF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U slučaju da je korisnik koji se nalazi na popisu iz </w:t>
      </w:r>
      <w:hyperlink r:id="rId6" w:history="1">
        <w:r w:rsidRPr="00A969EF">
          <w:rPr>
            <w:rFonts w:ascii="Tahoma" w:eastAsia="Times New Roman" w:hAnsi="Tahoma" w:cs="Tahoma"/>
            <w:color w:val="2772C2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>Priloga 1</w:t>
        </w:r>
      </w:hyperlink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. ovoga Javnog poziva podnio prijavu u rokovima propisanim pod točkom 7. ovoga Javnog poziva te po zaprimanju sredstava od Ministarstva, Općina </w:t>
      </w:r>
      <w:r w:rsidR="003C7DB6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Erdut</w:t>
      </w: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 xml:space="preserve"> donosi Odluku o isplati i doznačuje sredstva na račun korisnika.</w:t>
      </w:r>
    </w:p>
    <w:p w14:paraId="719608BF" w14:textId="77777777" w:rsidR="00A969EF" w:rsidRPr="00A969EF" w:rsidRDefault="00A969EF" w:rsidP="00A969EF">
      <w:pPr>
        <w:shd w:val="clear" w:color="auto" w:fill="F7F7F7"/>
        <w:spacing w:after="75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Odluka o odbijanju prijave izdaje se u slučajevima:</w:t>
      </w:r>
    </w:p>
    <w:p w14:paraId="23DA8A83" w14:textId="77777777" w:rsidR="00A969EF" w:rsidRPr="00A969EF" w:rsidRDefault="00A969EF" w:rsidP="00A969EF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ako prijavu na ovaj Javni poziv nije podnio nositelj / odgovorna osoba poljoprivrednog gospodarstva čiji je MIBPG naveden u Prilogu 1. ovoga Javnog poziva</w:t>
      </w:r>
    </w:p>
    <w:p w14:paraId="120098A3" w14:textId="77777777" w:rsidR="00A969EF" w:rsidRPr="00A969EF" w:rsidRDefault="00A969EF" w:rsidP="00A969EF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ako je prijava na ovaj Javni poziv podnesena za poljoprivredno gospodarstvo čiji MIBPG nije naveden u Prilogu 1. ovoga Javnog poziva</w:t>
      </w:r>
    </w:p>
    <w:p w14:paraId="3BEC5EE9" w14:textId="77777777" w:rsidR="00A969EF" w:rsidRPr="00A969EF" w:rsidRDefault="00A969EF" w:rsidP="00A969EF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t>ako je prijava podnesena izvan rokova propisanih podtočkom 7. ovoga Javnog poziva</w:t>
      </w:r>
    </w:p>
    <w:p w14:paraId="7601E53C" w14:textId="77777777" w:rsidR="00A969EF" w:rsidRPr="00A969EF" w:rsidRDefault="00A969EF" w:rsidP="00A969EF">
      <w:pPr>
        <w:shd w:val="clear" w:color="auto" w:fill="F7F7F7"/>
        <w:spacing w:before="225" w:after="30" w:line="240" w:lineRule="auto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36"/>
          <w:sz w:val="44"/>
          <w:szCs w:val="44"/>
          <w:lang w:val="fr-FR"/>
          <w14:ligatures w14:val="none"/>
        </w:rPr>
        <w:t>9. POPIS PRILOGA</w:t>
      </w:r>
    </w:p>
    <w:p w14:paraId="68760C92" w14:textId="77777777" w:rsidR="00964E2B" w:rsidRPr="00E22FEF" w:rsidRDefault="00A969EF" w:rsidP="003C7DB6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kern w:val="0"/>
          <w:sz w:val="21"/>
          <w:szCs w:val="21"/>
          <w:bdr w:val="none" w:sz="0" w:space="0" w:color="auto" w:frame="1"/>
          <w:lang w:val="fr-FR"/>
          <w14:ligatures w14:val="none"/>
        </w:rPr>
      </w:pPr>
      <w:hyperlink r:id="rId7" w:history="1">
        <w:r w:rsidRPr="00A969EF">
          <w:rPr>
            <w:rFonts w:ascii="Tahoma" w:eastAsia="Times New Roman" w:hAnsi="Tahoma" w:cs="Tahoma"/>
            <w:i/>
            <w:iCs/>
            <w:color w:val="2772C2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>Prilog 1. Popis prihvatljivih korisnika</w:t>
        </w:r>
      </w:hyperlink>
    </w:p>
    <w:p w14:paraId="67DE2A7C" w14:textId="0820AC13" w:rsidR="003C7DB6" w:rsidRPr="00E22FEF" w:rsidRDefault="00A969EF" w:rsidP="003C7DB6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kern w:val="0"/>
          <w:sz w:val="21"/>
          <w:szCs w:val="21"/>
          <w:bdr w:val="none" w:sz="0" w:space="0" w:color="auto" w:frame="1"/>
          <w:lang w:val="fr-FR"/>
          <w14:ligatures w14:val="none"/>
        </w:rPr>
      </w:pPr>
      <w:r w:rsidRPr="00A969EF">
        <w:rPr>
          <w:rFonts w:ascii="Tahoma" w:eastAsia="Times New Roman" w:hAnsi="Tahoma" w:cs="Tahoma"/>
          <w:color w:val="000000"/>
          <w:kern w:val="0"/>
          <w:sz w:val="21"/>
          <w:szCs w:val="21"/>
          <w:lang w:val="fr-FR"/>
          <w14:ligatures w14:val="none"/>
        </w:rPr>
        <w:br/>
      </w:r>
      <w:hyperlink r:id="rId8" w:history="1">
        <w:r w:rsidRPr="00A969EF">
          <w:rPr>
            <w:rFonts w:ascii="Tahoma" w:eastAsia="Times New Roman" w:hAnsi="Tahoma" w:cs="Tahoma"/>
            <w:i/>
            <w:iCs/>
            <w:color w:val="2772C2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>Prilog 2. Obrazac prijave</w:t>
        </w:r>
      </w:hyperlink>
    </w:p>
    <w:p w14:paraId="4376E7E9" w14:textId="77777777" w:rsidR="00964E2B" w:rsidRPr="00E22FEF" w:rsidRDefault="00964E2B" w:rsidP="003C7DB6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kern w:val="0"/>
          <w:sz w:val="21"/>
          <w:szCs w:val="21"/>
          <w:bdr w:val="none" w:sz="0" w:space="0" w:color="auto" w:frame="1"/>
          <w:lang w:val="fr-FR"/>
          <w14:ligatures w14:val="none"/>
        </w:rPr>
      </w:pPr>
    </w:p>
    <w:p w14:paraId="0039D1AF" w14:textId="4169D3C9" w:rsidR="003C7DB6" w:rsidRPr="00E22FEF" w:rsidRDefault="003C7DB6" w:rsidP="003C7DB6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</w:pPr>
      <w:hyperlink r:id="rId9" w:history="1">
        <w:r w:rsidRPr="00E22FEF">
          <w:rPr>
            <w:rFonts w:ascii="Tahoma" w:eastAsia="Times New Roman" w:hAnsi="Tahoma" w:cs="Tahoma"/>
            <w:i/>
            <w:iCs/>
            <w:color w:val="215E99" w:themeColor="text2" w:themeTint="BF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 xml:space="preserve">Prilog 3. </w:t>
        </w:r>
      </w:hyperlink>
      <w:r w:rsidRPr="00E22FEF"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  <w:t>Program</w:t>
      </w:r>
      <w:r w:rsidR="0057414E" w:rsidRPr="00E22FEF"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  <w:t xml:space="preserve"> dodjele potpore male vrijednosti poljoprivrednicima na području Općine Erdut kao pomoć za ublažavanje posljedica prirodne nepogode suše za 2024</w:t>
      </w:r>
      <w:r w:rsidRPr="00E22FEF"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  <w:t xml:space="preserve"> </w:t>
      </w:r>
    </w:p>
    <w:p w14:paraId="2DDF498E" w14:textId="77777777" w:rsidR="00964E2B" w:rsidRPr="00E22FEF" w:rsidRDefault="00964E2B" w:rsidP="003C7DB6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</w:pPr>
    </w:p>
    <w:p w14:paraId="373F7C3E" w14:textId="28D885A8" w:rsidR="00964E2B" w:rsidRPr="00E22FEF" w:rsidRDefault="00964E2B" w:rsidP="00964E2B">
      <w:pPr>
        <w:shd w:val="clear" w:color="auto" w:fill="F7F7F7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</w:pPr>
      <w:hyperlink r:id="rId10" w:history="1">
        <w:r w:rsidRPr="00E22FEF">
          <w:rPr>
            <w:rFonts w:ascii="Tahoma" w:eastAsia="Times New Roman" w:hAnsi="Tahoma" w:cs="Tahoma"/>
            <w:i/>
            <w:iCs/>
            <w:color w:val="215E99" w:themeColor="text2" w:themeTint="BF"/>
            <w:kern w:val="0"/>
            <w:sz w:val="21"/>
            <w:szCs w:val="21"/>
            <w:u w:val="single"/>
            <w:bdr w:val="none" w:sz="0" w:space="0" w:color="auto" w:frame="1"/>
            <w:lang w:val="fr-FR"/>
            <w14:ligatures w14:val="none"/>
          </w:rPr>
          <w:t xml:space="preserve">Prilog 4. </w:t>
        </w:r>
      </w:hyperlink>
      <w:r w:rsidRPr="00E22FEF">
        <w:rPr>
          <w:lang w:val="fr-FR"/>
        </w:rPr>
        <w:t xml:space="preserve"> </w:t>
      </w:r>
      <w:r w:rsidRPr="00E22FEF">
        <w:rPr>
          <w:rFonts w:ascii="Tahoma" w:eastAsia="Times New Roman" w:hAnsi="Tahoma" w:cs="Tahoma"/>
          <w:i/>
          <w:iCs/>
          <w:color w:val="215E99" w:themeColor="text2" w:themeTint="BF"/>
          <w:kern w:val="0"/>
          <w:sz w:val="21"/>
          <w:szCs w:val="21"/>
          <w:u w:val="single"/>
          <w:bdr w:val="none" w:sz="0" w:space="0" w:color="auto" w:frame="1"/>
          <w:lang w:val="fr-FR"/>
          <w14:ligatures w14:val="none"/>
        </w:rPr>
        <w:t>JAVNI POZIV za provedbu Programa dodjele potpore male vrijednosti poljoprivrednicima na području Općine Erdut  kao pomoć za ublažavanje posljedica prirodne nepogode suše za 2024. godinu</w:t>
      </w:r>
    </w:p>
    <w:p w14:paraId="139D8A5F" w14:textId="77777777" w:rsidR="00A969EF" w:rsidRPr="00E22FEF" w:rsidRDefault="00A969EF" w:rsidP="00A969EF">
      <w:pPr>
        <w:jc w:val="center"/>
        <w:rPr>
          <w:lang w:val="fr-FR"/>
        </w:rPr>
      </w:pPr>
    </w:p>
    <w:sectPr w:rsidR="00A969EF" w:rsidRPr="00E22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40B"/>
    <w:multiLevelType w:val="hybridMultilevel"/>
    <w:tmpl w:val="EFEE06D2"/>
    <w:lvl w:ilvl="0" w:tplc="85EACCD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D0616"/>
    <w:multiLevelType w:val="hybridMultilevel"/>
    <w:tmpl w:val="AF7EE21C"/>
    <w:lvl w:ilvl="0" w:tplc="D974E7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59B2"/>
    <w:multiLevelType w:val="multilevel"/>
    <w:tmpl w:val="AC860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C7BDE"/>
    <w:multiLevelType w:val="multilevel"/>
    <w:tmpl w:val="A22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4296043">
    <w:abstractNumId w:val="3"/>
  </w:num>
  <w:num w:numId="2" w16cid:durableId="832985910">
    <w:abstractNumId w:val="2"/>
  </w:num>
  <w:num w:numId="3" w16cid:durableId="1330017126">
    <w:abstractNumId w:val="1"/>
  </w:num>
  <w:num w:numId="4" w16cid:durableId="28103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EE"/>
    <w:rsid w:val="003C7DB6"/>
    <w:rsid w:val="00450704"/>
    <w:rsid w:val="004C07EE"/>
    <w:rsid w:val="0057414E"/>
    <w:rsid w:val="00964E2B"/>
    <w:rsid w:val="009A6DC4"/>
    <w:rsid w:val="009B5B67"/>
    <w:rsid w:val="00A46C86"/>
    <w:rsid w:val="00A969EF"/>
    <w:rsid w:val="00E22FEF"/>
    <w:rsid w:val="00E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78A4"/>
  <w15:chartTrackingRefBased/>
  <w15:docId w15:val="{7BAF1E3E-6A0F-4676-916D-F9351CB5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07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07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07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07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07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07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07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07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07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07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0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cina-borovo.hr/wp-content/uploads/2025/10/Prilog-2.-Obrazac-prijav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cina-borovo.hr/wp-content/uploads/2025/10/Prilog-1.-Popis-prihvatljivih-korisnik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cina-borovo.hr/wp-content/uploads/2025/10/Prilog-1.-Popis-prihvatljivih-korisnik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cina-borovo.hr/wp-content/uploads/2025/10/Prilog-1.-Popis-prihvatljivih-korisnika.pdf" TargetMode="External"/><Relationship Id="rId10" Type="http://schemas.openxmlformats.org/officeDocument/2006/relationships/hyperlink" Target="https://opcina-borovo.hr/wp-content/uploads/2025/10/Prilog-2.-Obrazac-prijav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cina-borovo.hr/wp-content/uploads/2025/10/Prilog-2.-Obrazac-prijave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opcinaerdut7 - Milan</dc:creator>
  <cp:keywords/>
  <dc:description/>
  <cp:lastModifiedBy>opcinaerdut7 - Milan</cp:lastModifiedBy>
  <cp:revision>6</cp:revision>
  <dcterms:created xsi:type="dcterms:W3CDTF">2025-11-03T10:16:00Z</dcterms:created>
  <dcterms:modified xsi:type="dcterms:W3CDTF">2025-11-03T11:52:00Z</dcterms:modified>
</cp:coreProperties>
</file>